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40"/>
        <w:gridCol w:w="515"/>
        <w:gridCol w:w="2000"/>
        <w:gridCol w:w="404"/>
        <w:gridCol w:w="762"/>
        <w:gridCol w:w="835"/>
        <w:gridCol w:w="1004"/>
        <w:gridCol w:w="391"/>
        <w:gridCol w:w="3714"/>
      </w:tblGrid>
      <w:tr w:rsidR="00D63995" w:rsidRPr="00D63995" w:rsidTr="00D63995">
        <w:trPr>
          <w:trHeight w:val="312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 w:rsidP="00D63995">
            <w:pPr>
              <w:rPr>
                <w:b/>
                <w:bCs/>
              </w:rPr>
            </w:pPr>
            <w:bookmarkStart w:id="0" w:name="RANGE!A1:E79"/>
            <w:r w:rsidRPr="00D63995">
              <w:rPr>
                <w:b/>
                <w:bCs/>
              </w:rPr>
              <w:t>ПОКАЗАТЕЛИ СИСТЕМЫ ОБРАЗОВАНИЯ</w:t>
            </w:r>
            <w:bookmarkEnd w:id="0"/>
          </w:p>
        </w:tc>
      </w:tr>
      <w:tr w:rsidR="00D63995" w:rsidRPr="00D63995" w:rsidTr="00D63995">
        <w:trPr>
          <w:trHeight w:val="312"/>
        </w:trPr>
        <w:tc>
          <w:tcPr>
            <w:tcW w:w="5960" w:type="dxa"/>
            <w:gridSpan w:val="7"/>
            <w:noWrap/>
            <w:hideMark/>
          </w:tcPr>
          <w:p w:rsidR="00D63995" w:rsidRPr="00D63995" w:rsidRDefault="00D63995" w:rsidP="00D63995">
            <w:pPr>
              <w:rPr>
                <w:b/>
                <w:bCs/>
              </w:rPr>
            </w:pP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/>
        </w:tc>
      </w:tr>
      <w:tr w:rsidR="00D63995" w:rsidRPr="00D63995" w:rsidTr="00D63995">
        <w:trPr>
          <w:trHeight w:val="312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 w:rsidP="00D63995">
            <w:r w:rsidRPr="00D63995">
              <w:t>МО "Выборгский район" Ленинградской области</w:t>
            </w:r>
          </w:p>
        </w:tc>
      </w:tr>
      <w:tr w:rsidR="00D63995" w:rsidRPr="00D63995" w:rsidTr="00D63995">
        <w:trPr>
          <w:trHeight w:val="312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 w:rsidP="00D63995">
            <w:r w:rsidRPr="00D63995">
              <w:t>муниципальное обр</w:t>
            </w:r>
            <w:bookmarkStart w:id="1" w:name="_GoBack"/>
            <w:bookmarkEnd w:id="1"/>
            <w:r w:rsidRPr="00D63995">
              <w:t>азование Ленинградской области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/>
        </w:tc>
        <w:tc>
          <w:tcPr>
            <w:tcW w:w="2515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/>
        </w:tc>
      </w:tr>
      <w:tr w:rsidR="00D63995" w:rsidRPr="00D63995" w:rsidTr="00D63995">
        <w:trPr>
          <w:trHeight w:val="630"/>
        </w:trPr>
        <w:tc>
          <w:tcPr>
            <w:tcW w:w="955" w:type="dxa"/>
            <w:gridSpan w:val="2"/>
            <w:hideMark/>
          </w:tcPr>
          <w:p w:rsidR="00D63995" w:rsidRPr="00D63995" w:rsidRDefault="00D63995" w:rsidP="00D63995">
            <w:r w:rsidRPr="00D63995">
              <w:t xml:space="preserve">№ </w:t>
            </w:r>
            <w:proofErr w:type="spellStart"/>
            <w:r w:rsidRPr="00D63995">
              <w:t>п.п</w:t>
            </w:r>
            <w:proofErr w:type="spellEnd"/>
            <w:r w:rsidRPr="00D63995">
              <w:t>.</w:t>
            </w:r>
          </w:p>
        </w:tc>
        <w:tc>
          <w:tcPr>
            <w:tcW w:w="2404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Показатели</w:t>
            </w:r>
          </w:p>
        </w:tc>
        <w:tc>
          <w:tcPr>
            <w:tcW w:w="1597" w:type="dxa"/>
            <w:gridSpan w:val="2"/>
            <w:hideMark/>
          </w:tcPr>
          <w:p w:rsidR="00D63995" w:rsidRPr="00D63995" w:rsidRDefault="00D63995" w:rsidP="00D63995">
            <w:r w:rsidRPr="00D63995">
              <w:t>Единица измерения</w:t>
            </w:r>
          </w:p>
        </w:tc>
        <w:tc>
          <w:tcPr>
            <w:tcW w:w="1395" w:type="dxa"/>
            <w:gridSpan w:val="2"/>
            <w:hideMark/>
          </w:tcPr>
          <w:p w:rsidR="00D63995" w:rsidRPr="00D63995" w:rsidRDefault="00D63995" w:rsidP="00D63995">
            <w:r w:rsidRPr="00D63995">
              <w:t>Значение</w:t>
            </w:r>
            <w:r w:rsidRPr="00D63995">
              <w:br/>
              <w:t>2017 год</w:t>
            </w:r>
          </w:p>
        </w:tc>
        <w:tc>
          <w:tcPr>
            <w:tcW w:w="3714" w:type="dxa"/>
            <w:hideMark/>
          </w:tcPr>
          <w:p w:rsidR="00D63995" w:rsidRPr="00D63995" w:rsidRDefault="00D63995" w:rsidP="00D63995">
            <w:r w:rsidRPr="00D63995">
              <w:t>Примечание</w:t>
            </w:r>
          </w:p>
        </w:tc>
      </w:tr>
      <w:tr w:rsidR="00D63995" w:rsidRPr="00D63995" w:rsidTr="00D63995">
        <w:trPr>
          <w:trHeight w:val="375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>
            <w:pPr>
              <w:rPr>
                <w:b/>
                <w:bCs/>
              </w:rPr>
            </w:pPr>
            <w:r w:rsidRPr="00D63995">
              <w:rPr>
                <w:b/>
                <w:bCs/>
              </w:rPr>
              <w:t>ДОШКОЛЬНОЕ ОБРАЗОВАНИЕ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населения в возрасте от 2 месяцев до 7 лет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11136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18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воспитанников дошкольных образовательных организаций в возрасте от 2 месяцев до 7 лет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8837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Указана численность воспитанников в муниципальных ДОУ с учетом дошкольных отделений при общеобразовательных школах</w:t>
            </w:r>
          </w:p>
        </w:tc>
      </w:tr>
      <w:tr w:rsidR="00D63995" w:rsidRPr="00D63995" w:rsidTr="00D63995">
        <w:trPr>
          <w:trHeight w:val="27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воспитанников негосударственных дошкольных образовательных организаций в возрасте от 2 месяцев до 7 лет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357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Указана численность воспитанников в ЧДОУ "Детский сад №12 ОАО "РЖД", ФКДОУ "Детский сад №2038" Министерства обороны, ИП. Данные организации неподведомственны комитету образования</w:t>
            </w:r>
          </w:p>
        </w:tc>
      </w:tr>
      <w:tr w:rsidR="00D63995" w:rsidRPr="00D63995" w:rsidTr="00D63995">
        <w:trPr>
          <w:trHeight w:val="94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детей в возрасте от 2 месяцев до 7 лет, стоящих в очереди для определения в дошкольную образовательную организацию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логопедов в дошкольных образовательных организациях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84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- 2;  в иных ДОУ - 2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6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педагогов-психологов в дошкольных образовательных организациях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18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- 17; в иных ДОУ - 1</w:t>
            </w:r>
          </w:p>
        </w:tc>
      </w:tr>
      <w:tr w:rsidR="00D63995" w:rsidRPr="00D63995" w:rsidTr="00D63995">
        <w:trPr>
          <w:trHeight w:val="102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7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дошкольных образовательных организаций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42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 xml:space="preserve">Муниципальные  - 38                  </w:t>
            </w:r>
            <w:r w:rsidRPr="00D63995">
              <w:rPr>
                <w:b/>
                <w:bCs/>
                <w:u w:val="single"/>
              </w:rPr>
              <w:t xml:space="preserve"> </w:t>
            </w:r>
            <w:r w:rsidRPr="00D63995">
              <w:t xml:space="preserve">Иные  - 4 (см.п.3)                        </w:t>
            </w:r>
            <w:r w:rsidRPr="00D63995">
              <w:rPr>
                <w:b/>
                <w:bCs/>
                <w:u w:val="single"/>
              </w:rPr>
              <w:t>Кроме того школы с дошкольными отделениями - 16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8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 xml:space="preserve">Число дошкольных образовательных </w:t>
            </w:r>
            <w:r w:rsidRPr="00D63995">
              <w:lastRenderedPageBreak/>
              <w:t>организаций, имеющих физкультурный зал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lastRenderedPageBreak/>
              <w:t>ед.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24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- 22; в иных - 2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lastRenderedPageBreak/>
              <w:t>9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дошкольных образовательных организаций, имеющих водопровод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42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- 38; в иных - 4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10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дошкольных образовательных организаций, имеющих канализацию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42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- 38; в иных - 4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дошкольных образовательных организаций, имеющих центральное отопление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41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В муниципальных ДОУ - 37; в иных - 4</w:t>
            </w:r>
          </w:p>
        </w:tc>
      </w:tr>
      <w:tr w:rsidR="00D63995" w:rsidRPr="00D63995" w:rsidTr="00D63995">
        <w:trPr>
          <w:trHeight w:val="76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Площадь всех помещений дошкольных образовательных организаций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кв. метр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82273,2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 xml:space="preserve">В муниципальных ДОУ - 78638 (без учета школ с дошкольными отделениями); в иных - 3635,2 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Установленный норматив площади в расчете на одного воспитанника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кв. метр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 xml:space="preserve">до 3х лет - 2,5кв.м.;   с 3х лет - 2 </w:t>
            </w:r>
            <w:proofErr w:type="spellStart"/>
            <w:r w:rsidRPr="00D63995">
              <w:t>кв.м</w:t>
            </w:r>
            <w:proofErr w:type="spellEnd"/>
            <w:r w:rsidRPr="00D63995">
              <w:t>.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127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размер родительской платы в государственных дошкольных образовательных организациях (при наличии)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1847,3 руб. - муниципальные детские сады;    100руб. в день - государственный детский сад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94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15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размер родительской платы в негосударственных дошкольных образовательных организациях (при наличии)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 xml:space="preserve">15 000 </w:t>
            </w:r>
            <w:proofErr w:type="spellStart"/>
            <w:r w:rsidRPr="00D63995">
              <w:t>руб</w:t>
            </w:r>
            <w:proofErr w:type="spellEnd"/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27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16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Общие расходы дошкольных образовательных организаций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1 439 488,6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включены расходы бюджета МО и внебюджетные средства учреждений по основному КФСР 0701 без учета средств по КФСР 0705 и 1004 с учетом средств  структурных подразделений дошкольного образования в общеобразовательных школах</w:t>
            </w:r>
          </w:p>
        </w:tc>
      </w:tr>
      <w:tr w:rsidR="00D63995" w:rsidRPr="00D63995" w:rsidTr="00D63995">
        <w:trPr>
          <w:trHeight w:val="12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17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Расходы бюджета муниципального образования на систему дошкольного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1 364 530,1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включены расходы бюджета МО  по основному КФСР 0701 без учета средств  по КФСР 0705 и 1004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lastRenderedPageBreak/>
              <w:t>18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Установленный норматив на реализацию ФГОС в организации дошкольного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 2017г. норматив не устанавливался</w:t>
            </w:r>
          </w:p>
        </w:tc>
      </w:tr>
      <w:tr w:rsidR="00D63995" w:rsidRPr="00D63995" w:rsidTr="00D63995">
        <w:trPr>
          <w:trHeight w:val="375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>
            <w:pPr>
              <w:rPr>
                <w:b/>
                <w:bCs/>
              </w:rPr>
            </w:pPr>
            <w:r w:rsidRPr="00D63995">
              <w:rPr>
                <w:b/>
                <w:bCs/>
              </w:rPr>
              <w:t>ОБЩЕЕ ОБРАЗОВАНИЕ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19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обучающихся общеобразовательных организаций в возрасте до 7 лет включительно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1796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76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20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обучающихся организаций общего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16309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Муниципальные организации - 16 169, частные - 55, государственные - 85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обучающихся организаций общего образования, занимающихся во вторую смену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обучающихся организаций общего образования, занимающихся в третью смену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общего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39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Муниципальные - 37, частные - 1 , государственные - 1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общего образования, здания которых находятся в аварийном состоянии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>
            <w:r w:rsidRPr="00D63995">
              <w:t>МБОУ СОШ №6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25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общего образования, здания которых требуют капитального ремонта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26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общего образования, имеющих физкультурный зал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37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Муниципальные - 36, государственные  - 1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27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общего образования, имеющих все виды удобств и благоустройств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39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28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персональных ЭВМ, используемых в учебных целях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2241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lastRenderedPageBreak/>
              <w:t>29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персональных ЭВМ, используемых в учебных целях и имеющих доступ к сети Интернет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1883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30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балл участников ЕГЭ по русскому языку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балл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73,61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балл участников ЕГЭ по математике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балл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52,45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балл ЕГЭ в 10% школ с самым высоким результатом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балл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67,70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Средний балл ЕГЭ в 10% школ с самым низким результатом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балл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53,67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189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Отношение заработной платы педагогических работников общеобразовательных организаций к оценке среднемесячной начисленной заработной платы наемных работников в организациях, у индивидуальных предпринимателей и физических лиц (показатель Росстата)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-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112,20%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18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35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Расходы образовательных организаций общего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1648454,1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включены расходы бюджета МО и внебюджетные средства учреждений по основному КФСР 0702 без учета средств по КФСР 0707 и 1003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36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Установленный норматив на реализацию ФГОС в организации общего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 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 2017г. норматив не устанавливался</w:t>
            </w:r>
          </w:p>
        </w:tc>
      </w:tr>
      <w:tr w:rsidR="00D63995" w:rsidRPr="00D63995" w:rsidTr="00D63995">
        <w:trPr>
          <w:trHeight w:val="375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>
            <w:pPr>
              <w:rPr>
                <w:b/>
                <w:bCs/>
              </w:rPr>
            </w:pPr>
            <w:r w:rsidRPr="00D63995">
              <w:rPr>
                <w:b/>
                <w:bCs/>
              </w:rPr>
              <w:t>ДОПОЛНИТЕЛЬНОЕ ОБРАЗОВАНИЕ ДЕТЕЙ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37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обучающихся в организациях дополнительного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12 199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38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11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>Из них подведомственны комитету образования - 4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lastRenderedPageBreak/>
              <w:t>39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здания которых находятся в аварийном состоянии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40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здания которых требуют капитального ремонта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94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подключенных к сети Интернет и имеющих скорость подключения от 5 Мбит/сек и выше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имеющих канализацию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имеющих водопровод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Число организаций дополнительного образования, имеющих центральное отопление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ед.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8"/>
        </w:trPr>
        <w:tc>
          <w:tcPr>
            <w:tcW w:w="440" w:type="dxa"/>
            <w:vMerge w:val="restart"/>
            <w:noWrap/>
            <w:hideMark/>
          </w:tcPr>
          <w:p w:rsidR="00D63995" w:rsidRPr="00D63995" w:rsidRDefault="00D63995" w:rsidP="00D63995">
            <w:r w:rsidRPr="00D63995">
              <w:t>45</w:t>
            </w:r>
          </w:p>
        </w:tc>
        <w:tc>
          <w:tcPr>
            <w:tcW w:w="5520" w:type="dxa"/>
            <w:gridSpan w:val="6"/>
            <w:hideMark/>
          </w:tcPr>
          <w:p w:rsidR="00D63995" w:rsidRPr="00D63995" w:rsidRDefault="00D63995">
            <w:r w:rsidRPr="00D63995">
              <w:t>Доля организаций, реализующих программы дополнительного образования, подведомственных: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комитету (отделу и т.п.)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комитету (отделу и т.п.) культуры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46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комитету (отделу и т.п.) спорта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9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прочим комитетам, отделам и т.п.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9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769"/>
        </w:trPr>
        <w:tc>
          <w:tcPr>
            <w:tcW w:w="440" w:type="dxa"/>
            <w:vMerge w:val="restart"/>
            <w:noWrap/>
            <w:hideMark/>
          </w:tcPr>
          <w:p w:rsidR="00D63995" w:rsidRPr="00D63995" w:rsidRDefault="00D63995" w:rsidP="00D63995">
            <w:r w:rsidRPr="00D63995">
              <w:t>46</w:t>
            </w:r>
          </w:p>
        </w:tc>
        <w:tc>
          <w:tcPr>
            <w:tcW w:w="5520" w:type="dxa"/>
            <w:gridSpan w:val="6"/>
            <w:hideMark/>
          </w:tcPr>
          <w:p w:rsidR="00D63995" w:rsidRPr="00D63995" w:rsidRDefault="00D63995">
            <w:r w:rsidRPr="00D63995">
              <w:t xml:space="preserve">Доля контингента по следующим направленностям в общей численности контингента организаций, реализующих программы дополнительного образования: 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 техническая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5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 естественнонаучная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11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 туристско-краеведческая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 социально-педагогическая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20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в области искусств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37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vMerge/>
            <w:hideMark/>
          </w:tcPr>
          <w:p w:rsidR="00D63995" w:rsidRPr="00D63995" w:rsidRDefault="00D63995"/>
        </w:tc>
        <w:tc>
          <w:tcPr>
            <w:tcW w:w="2515" w:type="dxa"/>
            <w:gridSpan w:val="2"/>
            <w:hideMark/>
          </w:tcPr>
          <w:p w:rsidR="00D63995" w:rsidRPr="00D63995" w:rsidRDefault="00D63995" w:rsidP="00D63995">
            <w:r w:rsidRPr="00D63995">
              <w:t>·       в области физической культуры и спорта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24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27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lastRenderedPageBreak/>
              <w:t>47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внешних совместителей из числа педагогических работников организаций дополнительного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155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 xml:space="preserve">Численность по учреждениям, подведомственным комитету образования, </w:t>
            </w:r>
            <w:proofErr w:type="spellStart"/>
            <w:r w:rsidRPr="00D63995">
              <w:t>КСМПиК</w:t>
            </w:r>
            <w:proofErr w:type="spellEnd"/>
            <w:r w:rsidRPr="00D63995">
              <w:t xml:space="preserve"> в соответствии с отчетом 1-ДО, а также  структурных </w:t>
            </w:r>
            <w:proofErr w:type="spellStart"/>
            <w:r w:rsidRPr="00D63995">
              <w:t>подразделенияй</w:t>
            </w:r>
            <w:proofErr w:type="spellEnd"/>
            <w:r w:rsidRPr="00D63995">
              <w:t xml:space="preserve"> дополнительного образования в общеобразовательных учреждениях</w:t>
            </w:r>
          </w:p>
        </w:tc>
      </w:tr>
      <w:tr w:rsidR="00D63995" w:rsidRPr="00D63995" w:rsidTr="00D63995">
        <w:trPr>
          <w:trHeight w:val="27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48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Численность штатных педагогических работников организаций дополнительного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чел.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252</w:t>
            </w:r>
          </w:p>
        </w:tc>
        <w:tc>
          <w:tcPr>
            <w:tcW w:w="4105" w:type="dxa"/>
            <w:gridSpan w:val="2"/>
            <w:hideMark/>
          </w:tcPr>
          <w:p w:rsidR="00D63995" w:rsidRPr="00D63995" w:rsidRDefault="00D63995" w:rsidP="00D63995">
            <w:r w:rsidRPr="00D63995">
              <w:t xml:space="preserve">Численность по учреждениям, подведомственным комитету образования, </w:t>
            </w:r>
            <w:proofErr w:type="spellStart"/>
            <w:r w:rsidRPr="00D63995">
              <w:t>КСМПиК</w:t>
            </w:r>
            <w:proofErr w:type="spellEnd"/>
            <w:r w:rsidRPr="00D63995">
              <w:t xml:space="preserve"> в соответствии с отчетом 1-ДО, а также структурных подразделений дополнительного образования в общеобразовательных учреждениях</w:t>
            </w:r>
          </w:p>
        </w:tc>
      </w:tr>
      <w:tr w:rsidR="00D63995" w:rsidRPr="00D63995" w:rsidTr="00D63995">
        <w:trPr>
          <w:trHeight w:val="180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49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Расходы организаций дополнительного образования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тыс. руб.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198 429,7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включены расходы бюджета МО и внебюджетные средства учреждений по основному КФСР 0703 без учета средств по КФСР 0707 и 0709</w:t>
            </w:r>
          </w:p>
        </w:tc>
      </w:tr>
      <w:tr w:rsidR="00D63995" w:rsidRPr="00D63995" w:rsidTr="00D63995">
        <w:trPr>
          <w:trHeight w:val="375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>
            <w:pPr>
              <w:rPr>
                <w:b/>
                <w:bCs/>
              </w:rPr>
            </w:pPr>
            <w:r w:rsidRPr="00D63995">
              <w:rPr>
                <w:b/>
                <w:bCs/>
              </w:rPr>
              <w:t>КОНТЕКСТНЫЕ ПОКАЗАТЕЛИ</w:t>
            </w:r>
          </w:p>
        </w:tc>
      </w:tr>
      <w:tr w:rsidR="00D63995" w:rsidRPr="00D63995" w:rsidTr="00D63995">
        <w:trPr>
          <w:trHeight w:val="126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50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Доля обучающихся в общеобразовательных учреждениях, находящихся в городских поселениях, в общей численности обучающихся в общеобразовательных учреждениях</w:t>
            </w:r>
          </w:p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77,6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51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Коэффициент естественного прироста населения</w:t>
            </w:r>
          </w:p>
        </w:tc>
        <w:tc>
          <w:tcPr>
            <w:tcW w:w="1166" w:type="dxa"/>
            <w:gridSpan w:val="2"/>
            <w:hideMark/>
          </w:tcPr>
          <w:p w:rsidR="00D63995" w:rsidRPr="00D63995" w:rsidRDefault="00D63995" w:rsidP="00D63995">
            <w:r w:rsidRPr="00D63995">
              <w:t>промилле</w:t>
            </w:r>
            <w:r w:rsidRPr="00D63995">
              <w:br/>
              <w:t>(1⁄10 процента)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 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630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52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Доля безработных от числа экономически активного населения</w:t>
            </w:r>
          </w:p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0,28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53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Доля экономически активного населения</w:t>
            </w:r>
          </w:p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процент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0,72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>
            <w:r w:rsidRPr="00D63995">
              <w:t>54</w:t>
            </w:r>
          </w:p>
        </w:tc>
        <w:tc>
          <w:tcPr>
            <w:tcW w:w="2515" w:type="dxa"/>
            <w:gridSpan w:val="2"/>
            <w:hideMark/>
          </w:tcPr>
          <w:p w:rsidR="00D63995" w:rsidRPr="00D63995" w:rsidRDefault="00D63995">
            <w:r w:rsidRPr="00D63995">
              <w:t>Плотность населения</w:t>
            </w:r>
          </w:p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чел./кв. км</w:t>
            </w:r>
          </w:p>
        </w:tc>
        <w:tc>
          <w:tcPr>
            <w:tcW w:w="1839" w:type="dxa"/>
            <w:gridSpan w:val="2"/>
            <w:hideMark/>
          </w:tcPr>
          <w:p w:rsidR="00D63995" w:rsidRPr="00D63995" w:rsidRDefault="00D63995" w:rsidP="00D63995">
            <w:r w:rsidRPr="00D63995">
              <w:t>27,3</w:t>
            </w:r>
          </w:p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 w:rsidP="00D63995">
            <w:r w:rsidRPr="00D63995">
              <w:t> </w:t>
            </w:r>
          </w:p>
        </w:tc>
      </w:tr>
      <w:tr w:rsidR="00D63995" w:rsidRPr="00D63995" w:rsidTr="00D63995">
        <w:trPr>
          <w:trHeight w:val="315"/>
        </w:trPr>
        <w:tc>
          <w:tcPr>
            <w:tcW w:w="440" w:type="dxa"/>
            <w:noWrap/>
            <w:hideMark/>
          </w:tcPr>
          <w:p w:rsidR="00D63995" w:rsidRPr="00D63995" w:rsidRDefault="00D63995" w:rsidP="00D63995"/>
        </w:tc>
        <w:tc>
          <w:tcPr>
            <w:tcW w:w="2515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1166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1839" w:type="dxa"/>
            <w:gridSpan w:val="2"/>
            <w:noWrap/>
            <w:hideMark/>
          </w:tcPr>
          <w:p w:rsidR="00D63995" w:rsidRPr="00D63995" w:rsidRDefault="00D63995"/>
        </w:tc>
        <w:tc>
          <w:tcPr>
            <w:tcW w:w="4105" w:type="dxa"/>
            <w:gridSpan w:val="2"/>
            <w:noWrap/>
            <w:hideMark/>
          </w:tcPr>
          <w:p w:rsidR="00D63995" w:rsidRPr="00D63995" w:rsidRDefault="00D63995"/>
        </w:tc>
      </w:tr>
      <w:tr w:rsidR="00D63995" w:rsidRPr="00D63995" w:rsidTr="00D63995">
        <w:trPr>
          <w:trHeight w:val="375"/>
        </w:trPr>
        <w:tc>
          <w:tcPr>
            <w:tcW w:w="10065" w:type="dxa"/>
            <w:gridSpan w:val="9"/>
            <w:noWrap/>
            <w:hideMark/>
          </w:tcPr>
          <w:p w:rsidR="00D63995" w:rsidRPr="00D63995" w:rsidRDefault="00D63995">
            <w:pPr>
              <w:rPr>
                <w:b/>
                <w:bCs/>
              </w:rPr>
            </w:pPr>
            <w:r w:rsidRPr="00D63995">
              <w:rPr>
                <w:b/>
                <w:bCs/>
              </w:rPr>
              <w:t>ОТВЕТСТВЕННЫЙ ИСПОЛНИТЕЛЬ</w:t>
            </w:r>
          </w:p>
        </w:tc>
      </w:tr>
      <w:tr w:rsidR="00D63995" w:rsidRPr="00D63995" w:rsidTr="00D63995">
        <w:trPr>
          <w:trHeight w:val="315"/>
        </w:trPr>
        <w:tc>
          <w:tcPr>
            <w:tcW w:w="2955" w:type="dxa"/>
            <w:gridSpan w:val="3"/>
            <w:hideMark/>
          </w:tcPr>
          <w:p w:rsidR="00D63995" w:rsidRPr="00D63995" w:rsidRDefault="00D63995" w:rsidP="00D63995">
            <w:r w:rsidRPr="00D63995">
              <w:lastRenderedPageBreak/>
              <w:t>ФИО (полностью)</w:t>
            </w:r>
          </w:p>
        </w:tc>
        <w:tc>
          <w:tcPr>
            <w:tcW w:w="7110" w:type="dxa"/>
            <w:gridSpan w:val="6"/>
            <w:noWrap/>
            <w:hideMark/>
          </w:tcPr>
          <w:p w:rsidR="00D63995" w:rsidRPr="00D63995" w:rsidRDefault="00D63995">
            <w:proofErr w:type="spellStart"/>
            <w:r w:rsidRPr="00D63995">
              <w:t>Хазипова</w:t>
            </w:r>
            <w:proofErr w:type="spellEnd"/>
            <w:r w:rsidRPr="00D63995">
              <w:t xml:space="preserve"> Светлана Николаевна</w:t>
            </w:r>
          </w:p>
        </w:tc>
      </w:tr>
      <w:tr w:rsidR="00D63995" w:rsidRPr="00D63995" w:rsidTr="00D63995">
        <w:trPr>
          <w:trHeight w:val="315"/>
        </w:trPr>
        <w:tc>
          <w:tcPr>
            <w:tcW w:w="2955" w:type="dxa"/>
            <w:gridSpan w:val="3"/>
            <w:hideMark/>
          </w:tcPr>
          <w:p w:rsidR="00D63995" w:rsidRPr="00D63995" w:rsidRDefault="00D63995" w:rsidP="00D63995">
            <w:r w:rsidRPr="00D63995">
              <w:t>Контактный телефон</w:t>
            </w:r>
          </w:p>
        </w:tc>
        <w:tc>
          <w:tcPr>
            <w:tcW w:w="7110" w:type="dxa"/>
            <w:gridSpan w:val="6"/>
            <w:noWrap/>
            <w:hideMark/>
          </w:tcPr>
          <w:p w:rsidR="00D63995" w:rsidRPr="00D63995" w:rsidRDefault="00D63995">
            <w:r w:rsidRPr="00D63995">
              <w:t>79213242115</w:t>
            </w:r>
          </w:p>
        </w:tc>
      </w:tr>
      <w:tr w:rsidR="00D63995" w:rsidRPr="00D63995" w:rsidTr="00D63995">
        <w:trPr>
          <w:trHeight w:val="315"/>
        </w:trPr>
        <w:tc>
          <w:tcPr>
            <w:tcW w:w="2955" w:type="dxa"/>
            <w:gridSpan w:val="3"/>
            <w:hideMark/>
          </w:tcPr>
          <w:p w:rsidR="00D63995" w:rsidRPr="00D63995" w:rsidRDefault="00D63995" w:rsidP="00D63995">
            <w:r w:rsidRPr="00D63995">
              <w:t>Эл. почта</w:t>
            </w:r>
          </w:p>
        </w:tc>
        <w:tc>
          <w:tcPr>
            <w:tcW w:w="7110" w:type="dxa"/>
            <w:gridSpan w:val="6"/>
            <w:noWrap/>
            <w:hideMark/>
          </w:tcPr>
          <w:p w:rsidR="00D63995" w:rsidRPr="00D63995" w:rsidRDefault="00D63995">
            <w:r w:rsidRPr="00D63995">
              <w:t>hsn_67@mail.ru</w:t>
            </w:r>
          </w:p>
        </w:tc>
      </w:tr>
    </w:tbl>
    <w:p w:rsidR="004D36E4" w:rsidRDefault="004D36E4"/>
    <w:sectPr w:rsidR="004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9A"/>
    <w:rsid w:val="004D36E4"/>
    <w:rsid w:val="005E3E9A"/>
    <w:rsid w:val="00D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9193C-AD59-4E08-A7E2-B46C3B81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1205</Words>
  <Characters>6870</Characters>
  <Application>Microsoft Office Word</Application>
  <DocSecurity>0</DocSecurity>
  <Lines>57</Lines>
  <Paragraphs>16</Paragraphs>
  <ScaleCrop>false</ScaleCrop>
  <Company>HP Inc.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2019-09-11T05:52:00Z</dcterms:created>
  <dcterms:modified xsi:type="dcterms:W3CDTF">2019-09-11T05:55:00Z</dcterms:modified>
</cp:coreProperties>
</file>